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C7BD" w14:textId="77777777" w:rsidR="006E0B84" w:rsidRPr="006E0B84" w:rsidRDefault="006E0B84" w:rsidP="006E0B84">
      <w:pPr>
        <w:shd w:val="clear" w:color="auto" w:fill="FFFFFF"/>
        <w:spacing w:after="100" w:afterAutospacing="1" w:line="240" w:lineRule="auto"/>
        <w:outlineLvl w:val="0"/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cs-CZ"/>
        </w:rPr>
        <w:t>Informace pro veřejnost</w:t>
      </w:r>
    </w:p>
    <w:p w14:paraId="661166AD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​</w:t>
      </w:r>
      <w:r w:rsidRPr="006E0B84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cs-CZ"/>
        </w:rPr>
        <w:t xml:space="preserve">Udržovat správný zápis v katastru nemovitostí má ze zákona povinnost každý vlastník nemovitosti. Přesto se v katastru nemovitostí nachází téměř 171 tisíc pozemků a staveb, </w:t>
      </w: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které nemají správně zapsaného vlastníka. </w:t>
      </w:r>
      <w:hyperlink r:id="rId4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>Seznam těchto nemovitostí</w:t>
        </w:r>
      </w:hyperlink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 zveřejňuje ÚZSVM na svém webu dvakrát ročně ve formátu „xls“. Seznam obsahuje výhradně údaje, které ÚZSVM obdržel od Českého úřadu zeměměřického a katastrálního podle zákona o katastru nemovitostí (§ 64 </w:t>
      </w:r>
      <w:hyperlink r:id="rId5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>zákona č. 256/2013 Sb</w:t>
        </w:r>
      </w:hyperlink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.). K prohlížení těchto dat v uvedeném formátu lze využít nejen Microsoft Excel, ale např. aplikaci OpenOffice.org, která je k dispozici bezplatně na adrese </w:t>
      </w:r>
      <w:hyperlink r:id="rId6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>http://www.openoffice.cz/stahnout</w:t>
        </w:r>
      </w:hyperlink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. Údaje o nemovitostech předává ÚZSVM také obecnímu úřadu, na jehož území se daná nemovitost nachází. Obecní úřad následně tyto údaje zveřejní na své úřední desce.</w:t>
      </w:r>
    </w:p>
    <w:p w14:paraId="449CE835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</w:t>
      </w:r>
    </w:p>
    <w:p w14:paraId="528503E2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Ke konci roku 2020 ÚZSVM evidoval zahájené šetření u 71 871 nemovitých položek zapsaných v katastru nemovitostí na nedostatečně identifikované vlastníky, z toho 37 129 položek již prošetřil. Oproti konci roku 2019 vzrostl počet vyřešených položek o 14 %. Jen v roce 2020 bylo zahájeno šetření u 8 927 položek a vyřešeno bylo 5 467 nemovitostí, což je o 334 více než v roce 2019. Nejčastějším výsledkem šetření je podání podnětu k zahájení dědického řízení (61 % případů). Souhrnou informaci k této agendě za rok 2020 naleznete také v této </w:t>
      </w:r>
      <w:hyperlink r:id="rId7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 xml:space="preserve">tiskové zprávě. </w:t>
        </w:r>
      </w:hyperlink>
    </w:p>
    <w:p w14:paraId="53F2CBA5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</w:t>
      </w:r>
    </w:p>
    <w:p w14:paraId="247B4AEA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cs-CZ"/>
        </w:rPr>
        <w:t xml:space="preserve">Pokud se nepřihlásí vlastník nemovitosti nejpozději do 31. 12. 2023, uběhne lhůta daná novým </w:t>
      </w:r>
      <w:hyperlink r:id="rId8" w:history="1">
        <w:r w:rsidRPr="006E0B84">
          <w:rPr>
            <w:rFonts w:ascii="Helvetica" w:eastAsia="Times New Roman" w:hAnsi="Helvetica" w:cs="Helvetica"/>
            <w:b/>
            <w:bCs/>
            <w:color w:val="0097D0"/>
            <w:sz w:val="24"/>
            <w:szCs w:val="24"/>
            <w:u w:val="single"/>
            <w:lang w:eastAsia="cs-CZ"/>
          </w:rPr>
          <w:t>občanským zákoníkem</w:t>
        </w:r>
      </w:hyperlink>
      <w:r w:rsidRPr="006E0B84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cs-CZ"/>
        </w:rPr>
        <w:t>, a tento majetek přejde na stát.</w:t>
      </w:r>
    </w:p>
    <w:p w14:paraId="28F5C1E9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</w:t>
      </w:r>
    </w:p>
    <w:p w14:paraId="771CC562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cs-CZ"/>
        </w:rPr>
        <w:t>Jak postupovat při hledání možného vlastnictví nemovitosti?</w:t>
      </w:r>
    </w:p>
    <w:p w14:paraId="25CD3438" w14:textId="77777777" w:rsidR="006E0B84" w:rsidRPr="006E0B84" w:rsidRDefault="006E0B84" w:rsidP="006E0B84">
      <w:pPr>
        <w:shd w:val="clear" w:color="auto" w:fill="FFFFFF"/>
        <w:spacing w:after="0" w:line="240" w:lineRule="auto"/>
        <w:ind w:hanging="709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b/>
          <w:bCs/>
          <w:noProof/>
          <w:color w:val="212529"/>
          <w:sz w:val="24"/>
          <w:szCs w:val="24"/>
          <w:lang w:eastAsia="cs-CZ"/>
        </w:rPr>
        <w:drawing>
          <wp:inline distT="0" distB="0" distL="0" distR="0" wp14:anchorId="7753E551" wp14:editId="68915586">
            <wp:extent cx="6562725" cy="4085855"/>
            <wp:effectExtent l="0" t="0" r="0" b="0"/>
            <wp:docPr id="1" name="Obrázek 1" descr="https://www.uzsvm.cz/clanky/2020/12/22/NIV_sch%C3%A9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zsvm.cz/clanky/2020/12/22/NIV_sch%C3%A9m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36" cy="41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9064F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lastRenderedPageBreak/>
        <w:t> </w:t>
      </w:r>
    </w:p>
    <w:p w14:paraId="0E53E6DC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Informace o tom, zda Vámi shromážděné doklady můžete předložit pro zápis vlastnictví do katastru nemovitostí, Vám poskytnou kolegové z regionálních pracovišť ÚZSVM, do jejichž působnosti nemovitost spadá. Případně Vám také poradí, jaké další doklady je třeba hledat a kde. Kontakty na pracoviště ÚZSVM naleznete </w:t>
      </w:r>
      <w:hyperlink r:id="rId10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>zde</w:t>
        </w:r>
      </w:hyperlink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. Upozorňujeme, že samotné posouzení právní dostatečnosti shromážděných listin přísluší katastrálnímu úřadu, anebo soudu, kterému bude podán návrh na projednání dědictví v případě osob již nežijících.</w:t>
      </w:r>
    </w:p>
    <w:p w14:paraId="43CC3773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</w:t>
      </w:r>
    </w:p>
    <w:p w14:paraId="0C781318" w14:textId="77777777" w:rsidR="006E0B84" w:rsidRPr="006E0B84" w:rsidRDefault="006E0B84" w:rsidP="006E0B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Další důležité informace k nedostatečně identifikovaným vlastníkům naleznete v brožuře </w:t>
      </w:r>
      <w:hyperlink r:id="rId11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>Nedostatečně identifikovaní vlastníci</w:t>
        </w:r>
      </w:hyperlink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 xml:space="preserve"> a také v záložce </w:t>
      </w:r>
      <w:hyperlink r:id="rId12" w:history="1">
        <w:r w:rsidRPr="006E0B84">
          <w:rPr>
            <w:rFonts w:ascii="Helvetica" w:eastAsia="Times New Roman" w:hAnsi="Helvetica" w:cs="Helvetica"/>
            <w:color w:val="0097D0"/>
            <w:sz w:val="24"/>
            <w:szCs w:val="24"/>
            <w:u w:val="single"/>
            <w:lang w:eastAsia="cs-CZ"/>
          </w:rPr>
          <w:t>Často kladené otázky</w:t>
        </w:r>
      </w:hyperlink>
      <w:r w:rsidRPr="006E0B8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.</w:t>
      </w:r>
    </w:p>
    <w:p w14:paraId="75812ACD" w14:textId="77777777" w:rsidR="00F57980" w:rsidRDefault="00F57980"/>
    <w:sectPr w:rsidR="00F57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84"/>
    <w:rsid w:val="006E0B84"/>
    <w:rsid w:val="00731FBD"/>
    <w:rsid w:val="00F5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B2D8"/>
  <w15:chartTrackingRefBased/>
  <w15:docId w15:val="{6DE69A5A-1E7F-46C7-B51E-AA56FECD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E0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0B8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E0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E0B8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E0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3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12-8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zsvm.cz/uzsvm-vyresil-jiz-vice-nez-37-tisic-nemovitosti-s-nedostatecne-identifikovanym-vl" TargetMode="External"/><Relationship Id="rId12" Type="http://schemas.openxmlformats.org/officeDocument/2006/relationships/hyperlink" Target="https://www.uzsvm.cz/casto-kladene-otaz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11" Type="http://schemas.openxmlformats.org/officeDocument/2006/relationships/hyperlink" Target="https://www.uzsvm.cz/prilohy/2020/09/10/NIV_brozura.pdf" TargetMode="External"/><Relationship Id="rId5" Type="http://schemas.openxmlformats.org/officeDocument/2006/relationships/hyperlink" Target="https://www.zakonyprolidi.cz/cs/2013-256" TargetMode="External"/><Relationship Id="rId10" Type="http://schemas.openxmlformats.org/officeDocument/2006/relationships/hyperlink" Target="https://www.uzsvm.cz/kontakty" TargetMode="External"/><Relationship Id="rId4" Type="http://schemas.openxmlformats.org/officeDocument/2006/relationships/hyperlink" Target="https://www.uzsvm.cz/seznam-nedostatecne-identifikovanych-vlastniku" TargetMode="Externa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Pikhartová Jaroslava</dc:creator>
  <cp:keywords/>
  <dc:description/>
  <cp:lastModifiedBy>Bc. Veronika Benáková</cp:lastModifiedBy>
  <cp:revision>2</cp:revision>
  <dcterms:created xsi:type="dcterms:W3CDTF">2021-08-23T08:23:00Z</dcterms:created>
  <dcterms:modified xsi:type="dcterms:W3CDTF">2021-08-23T08:23:00Z</dcterms:modified>
</cp:coreProperties>
</file>